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Protection Officer Handbook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DPO: Jane Mueller (dpo@acme-saas.com)</w:t>
      </w:r>
    </w:p>
    <w:p>
      <w:r>
        <w:t xml:space="preserve">Last updated: 2026-03-19</w:t>
      </w:r>
    </w:p>
    <w:p>
      <w:r>
        <w:t xml:space="preserve">This handbook outlines the responsibilities, reporting structure, and operational procedures for the Data Protection Officer (DPO) at Acme Inc, in accordance with GDPR Articles 37-39.</w:t>
      </w:r>
    </w:p>
    <w:p>
      <w:pPr>
        <w:pStyle w:val="Heading2"/>
      </w:pPr>
      <w:r>
        <w:t>1. Role and Appointment (GDPR Art. 37)</w:t>
      </w:r>
    </w:p>
    <w:p>
      <w:pPr>
        <w:pStyle w:val="Heading3"/>
      </w:pPr>
      <w:r>
        <w:t>1.1 When a DPO Is Required</w:t>
      </w:r>
    </w:p>
    <w:p>
      <w:r>
        <w:t xml:space="preserve">A DPO must be designated when:</w:t>
      </w:r>
    </w:p>
    <w:p>
      <w:pPr>
        <w:pStyle w:val="ListParagraph"/>
        <w:numPr>
          <w:ilvl w:val="0"/>
          <w:numId w:val="1"/>
        </w:numPr>
      </w:pPr>
      <w:r>
        <w:t xml:space="preserve">The processing is carried out by a public authority or body</w:t>
      </w:r>
    </w:p>
    <w:p>
      <w:pPr>
        <w:pStyle w:val="ListParagraph"/>
        <w:numPr>
          <w:ilvl w:val="0"/>
          <w:numId w:val="1"/>
        </w:numPr>
      </w:pPr>
      <w:r>
        <w:t xml:space="preserve">Core activities require regular and systematic monitoring of data subjects at scale</w:t>
      </w:r>
    </w:p>
    <w:p>
      <w:pPr>
        <w:pStyle w:val="ListParagraph"/>
        <w:numPr>
          <w:ilvl w:val="0"/>
          <w:numId w:val="1"/>
        </w:numPr>
      </w:pPr>
      <w:r>
        <w:t xml:space="preserve">Core activities involve large-scale processing of special categories of data</w:t>
      </w:r>
    </w:p>
    <w:p>
      <w:r>
        <w:t xml:space="preserve">Assessment for Acme Inc: A DPO is likely mandatory based on:</w:t>
      </w:r>
    </w:p>
    <w:p>
      <w:pPr>
        <w:pStyle w:val="ListParagraph"/>
        <w:numPr>
          <w:ilvl w:val="0"/>
          <w:numId w:val="1"/>
        </w:numPr>
      </w:pPr>
      <w:r>
        <w:t xml:space="preserve">8 third-party data processors detected (systematic processing at scale)</w:t>
      </w:r>
    </w:p>
    <w:p>
      <w:pPr>
        <w:pStyle w:val="ListParagraph"/>
        <w:numPr>
          <w:ilvl w:val="0"/>
          <w:numId w:val="1"/>
        </w:numPr>
      </w:pPr>
      <w:r>
        <w:t xml:space="preserve">AI services detected (automated decision-making / profiling)</w:t>
      </w:r>
    </w:p>
    <w:p>
      <w:pPr>
        <w:pStyle w:val="Heading3"/>
      </w:pPr>
      <w:r>
        <w:t>1.2 Appointment Requirements</w:t>
      </w:r>
    </w:p>
    <w:p>
      <w:r>
        <w:t xml:space="preserve">The DPO must:</w:t>
      </w:r>
    </w:p>
    <w:p>
      <w:pPr>
        <w:pStyle w:val="ListParagraph"/>
        <w:numPr>
          <w:ilvl w:val="0"/>
          <w:numId w:val="1"/>
        </w:numPr>
      </w:pPr>
      <w:r>
        <w:t xml:space="preserve">Be appointed based on **professional qualities**, in particular expert knowledge of data protection law and practices</w:t>
      </w:r>
    </w:p>
    <w:p>
      <w:pPr>
        <w:pStyle w:val="ListParagraph"/>
        <w:numPr>
          <w:ilvl w:val="0"/>
          <w:numId w:val="1"/>
        </w:numPr>
      </w:pPr>
      <w:r>
        <w:t xml:space="preserve">Be either a staff member or engaged under a service contract</w:t>
      </w:r>
    </w:p>
    <w:p>
      <w:pPr>
        <w:pStyle w:val="ListParagraph"/>
        <w:numPr>
          <w:ilvl w:val="0"/>
          <w:numId w:val="1"/>
        </w:numPr>
      </w:pPr>
      <w:r>
        <w:t xml:space="preserve">Be provided with resources necessary to carry out their tasks</w:t>
      </w:r>
    </w:p>
    <w:p>
      <w:pPr>
        <w:pStyle w:val="ListParagraph"/>
        <w:numPr>
          <w:ilvl w:val="0"/>
          <w:numId w:val="1"/>
        </w:numPr>
      </w:pPr>
      <w:r>
        <w:t xml:space="preserve">Be given access to personal data and processing operations</w:t>
      </w:r>
    </w:p>
    <w:p>
      <w:pPr>
        <w:pStyle w:val="ListParagraph"/>
        <w:numPr>
          <w:ilvl w:val="0"/>
          <w:numId w:val="1"/>
        </w:numPr>
      </w:pPr>
      <w:r>
        <w:t xml:space="preserve">Not be dismissed or penalized for performing their DPO tasks</w:t>
      </w:r>
    </w:p>
    <w:p>
      <w:pPr>
        <w:pStyle w:val="Heading2"/>
      </w:pPr>
      <w:r>
        <w:t>2. Position and Independence (GDPR Art. 38)</w:t>
      </w:r>
    </w:p>
    <w:p>
      <w:pPr>
        <w:pStyle w:val="Heading3"/>
      </w:pPr>
      <w:r>
        <w:t>2.1 Reporting Structure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Board / CEO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(Direct report)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└─────────┬───────────┘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DPO     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  Jane Mueller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└─────────┬───────────┘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┌─────┼─────┐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▼     ▼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Legal  IT  Business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Team   Team  Units</w:t>
      </w:r>
    </w:p>
    <w:p>
      <w:pPr>
        <w:pStyle w:val="Heading3"/>
      </w:pPr>
      <w:r>
        <w:t>2.2 Independence Requirements</w:t>
      </w:r>
    </w:p>
    <w:p>
      <w:pPr>
        <w:pStyle w:val="ListParagraph"/>
        <w:numPr>
          <w:ilvl w:val="0"/>
          <w:numId w:val="1"/>
        </w:numPr>
      </w:pPr>
      <w:r>
        <w:t xml:space="preserve">The DPO **reports directly** to the highest level of management</w:t>
      </w:r>
    </w:p>
    <w:p>
      <w:pPr>
        <w:pStyle w:val="ListParagraph"/>
        <w:numPr>
          <w:ilvl w:val="0"/>
          <w:numId w:val="1"/>
        </w:numPr>
      </w:pPr>
      <w:r>
        <w:t xml:space="preserve">The DPO shall **not receive instructions** regarding the exercise of their tasks</w:t>
      </w:r>
    </w:p>
    <w:p>
      <w:pPr>
        <w:pStyle w:val="ListParagraph"/>
        <w:numPr>
          <w:ilvl w:val="0"/>
          <w:numId w:val="1"/>
        </w:numPr>
      </w:pPr>
      <w:r>
        <w:t xml:space="preserve">The DPO shall **not be dismissed or penalized** for performing their duties</w:t>
      </w:r>
    </w:p>
    <w:p>
      <w:pPr>
        <w:pStyle w:val="ListParagraph"/>
        <w:numPr>
          <w:ilvl w:val="0"/>
          <w:numId w:val="1"/>
        </w:numPr>
      </w:pPr>
      <w:r>
        <w:t xml:space="preserve">The DPO may fulfill other tasks, provided they do not result in a **conflict of interest**</w:t>
      </w:r>
    </w:p>
    <w:p>
      <w:pPr>
        <w:pStyle w:val="Heading3"/>
      </w:pPr>
      <w:r>
        <w:t>2.3 Conflict of Interest</w:t>
      </w:r>
    </w:p>
    <w:p>
      <w:r>
        <w:t xml:space="preserve">The DPO must not simultaneously hold any of these roles:</w:t>
      </w:r>
    </w:p>
    <w:p>
      <w:r>
        <w:rPr>
          <w:sz w:val="20"/>
        </w:rPr>
        <w:t xml:space="preserve">Role  |  Why It Conflicts</w:t>
      </w:r>
    </w:p>
    <w:p>
      <w:r>
        <w:rPr>
          <w:sz w:val="20"/>
        </w:rPr>
        <w:t xml:space="preserve">CEO / Managing Director  |  Determines purposes of processing</w:t>
      </w:r>
    </w:p>
    <w:p>
      <w:r>
        <w:rPr>
          <w:sz w:val="20"/>
        </w:rPr>
        <w:t xml:space="preserve">CFO  |  Determines financial data processing</w:t>
      </w:r>
    </w:p>
    <w:p>
      <w:r>
        <w:rPr>
          <w:sz w:val="20"/>
        </w:rPr>
        <w:t xml:space="preserve">Head of Marketing  |  Decides on marketing data usage</w:t>
      </w:r>
    </w:p>
    <w:p>
      <w:r>
        <w:rPr>
          <w:sz w:val="20"/>
        </w:rPr>
        <w:t xml:space="preserve">Head of HR  |  Decides on employee data processing</w:t>
      </w:r>
    </w:p>
    <w:p>
      <w:r>
        <w:rPr>
          <w:sz w:val="20"/>
        </w:rPr>
        <w:t xml:space="preserve">Head of IT  |  Implements technical processing decisions</w:t>
      </w:r>
    </w:p>
    <w:p>
      <w:pPr>
        <w:pStyle w:val="Heading2"/>
      </w:pPr>
      <w:r>
        <w:t>3. Tasks and Responsibilities (GDPR Art. 39)</w:t>
      </w:r>
    </w:p>
    <w:p>
      <w:pPr>
        <w:pStyle w:val="Heading3"/>
      </w:pPr>
      <w:r>
        <w:t>3.1 Core Tasks</w:t>
      </w:r>
    </w:p>
    <w:p>
      <w:r>
        <w:rPr>
          <w:sz w:val="20"/>
        </w:rPr>
        <w:t xml:space="preserve">Task  |  Description  |  Frequency</w:t>
      </w:r>
    </w:p>
    <w:p>
      <w:r>
        <w:rPr>
          <w:sz w:val="20"/>
        </w:rPr>
        <w:t xml:space="preserve">**Inform and advise**  |  Advise the organization and employees on data protection obligations  |  Ongoing</w:t>
      </w:r>
    </w:p>
    <w:p>
      <w:r>
        <w:rPr>
          <w:sz w:val="20"/>
        </w:rPr>
        <w:t xml:space="preserve">**Monitor compliance**  |  Oversee compliance with GDPR and internal policies  |  Continuous</w:t>
      </w:r>
    </w:p>
    <w:p>
      <w:r>
        <w:rPr>
          <w:sz w:val="20"/>
        </w:rPr>
        <w:t xml:space="preserve">**Training**  |  Organize staff awareness and training programs  |  Quarterly</w:t>
      </w:r>
    </w:p>
    <w:p>
      <w:r>
        <w:rPr>
          <w:sz w:val="20"/>
        </w:rPr>
        <w:t xml:space="preserve">**DPIA oversight**  |  Advise on Data Protection Impact Assessments  |  Per project</w:t>
      </w:r>
    </w:p>
    <w:p>
      <w:r>
        <w:rPr>
          <w:sz w:val="20"/>
        </w:rPr>
        <w:t xml:space="preserve">**Supervisory authority**  |  Act as contact point for the supervisory authority  |  As needed</w:t>
      </w:r>
    </w:p>
    <w:p>
      <w:r>
        <w:rPr>
          <w:sz w:val="20"/>
        </w:rPr>
        <w:t xml:space="preserve">**Data subject requests**  |  Oversee DSAR handling process  |  As received</w:t>
      </w:r>
    </w:p>
    <w:p>
      <w:r>
        <w:rPr>
          <w:sz w:val="20"/>
        </w:rPr>
        <w:t xml:space="preserve">**Breach management**  |  Coordinate breach notification procedures  |  As needed</w:t>
      </w:r>
    </w:p>
    <w:p>
      <w:r>
        <w:rPr>
          <w:sz w:val="20"/>
        </w:rPr>
        <w:t xml:space="preserve">**Records maintenance**  |  Maintain records of processing activities (Art. 30)  |  Quarterly review</w:t>
      </w:r>
    </w:p>
    <w:p>
      <w:pPr>
        <w:pStyle w:val="Heading3"/>
      </w:pPr>
      <w:r>
        <w:t>3.2 Operational Checklist</w:t>
      </w:r>
    </w:p>
    <w:p>
      <w:pPr>
        <w:pStyle w:val="Heading4"/>
      </w:pPr>
      <w:r>
        <w:t>Daily</w:t>
      </w:r>
    </w:p>
    <w:p>
      <w:pPr>
        <w:pStyle w:val="ListParagraph"/>
        <w:numPr>
          <w:ilvl w:val="0"/>
          <w:numId w:val="1"/>
        </w:numPr>
      </w:pPr>
      <w:r>
        <w:t xml:space="preserve">[ ] Review incoming DSAR requests</w:t>
      </w:r>
    </w:p>
    <w:p>
      <w:pPr>
        <w:pStyle w:val="ListParagraph"/>
        <w:numPr>
          <w:ilvl w:val="0"/>
          <w:numId w:val="1"/>
        </w:numPr>
      </w:pPr>
      <w:r>
        <w:t xml:space="preserve">[ ] Monitor security incident alerts for potential data breaches</w:t>
      </w:r>
    </w:p>
    <w:p>
      <w:pPr>
        <w:pStyle w:val="ListParagraph"/>
        <w:numPr>
          <w:ilvl w:val="0"/>
          <w:numId w:val="1"/>
        </w:numPr>
      </w:pPr>
      <w:r>
        <w:t xml:space="preserve">[ ] Check DPO email inbox for data subject inquiries</w:t>
      </w:r>
    </w:p>
    <w:p>
      <w:pPr>
        <w:pStyle w:val="Heading4"/>
      </w:pPr>
      <w:r>
        <w:t>Weekly</w:t>
      </w:r>
    </w:p>
    <w:p>
      <w:pPr>
        <w:pStyle w:val="ListParagraph"/>
        <w:numPr>
          <w:ilvl w:val="0"/>
          <w:numId w:val="1"/>
        </w:numPr>
      </w:pPr>
      <w:r>
        <w:t xml:space="preserve">[ ] Review new vendor/service integrations for data protection implications</w:t>
      </w:r>
    </w:p>
    <w:p>
      <w:pPr>
        <w:pStyle w:val="ListParagraph"/>
        <w:numPr>
          <w:ilvl w:val="0"/>
          <w:numId w:val="1"/>
        </w:numPr>
      </w:pPr>
      <w:r>
        <w:t xml:space="preserve">[ ] Check DSAR response deadlines (30-day timer)</w:t>
      </w:r>
    </w:p>
    <w:p>
      <w:pPr>
        <w:pStyle w:val="ListParagraph"/>
        <w:numPr>
          <w:ilvl w:val="0"/>
          <w:numId w:val="1"/>
        </w:numPr>
      </w:pPr>
      <w:r>
        <w:t xml:space="preserve">[ ] Review any pending consent changes or policy updates</w:t>
      </w:r>
    </w:p>
    <w:p>
      <w:pPr>
        <w:pStyle w:val="Heading4"/>
      </w:pPr>
      <w:r>
        <w:t>Monthly</w:t>
      </w:r>
    </w:p>
    <w:p>
      <w:pPr>
        <w:pStyle w:val="ListParagraph"/>
        <w:numPr>
          <w:ilvl w:val="0"/>
          <w:numId w:val="1"/>
        </w:numPr>
      </w:pPr>
      <w:r>
        <w:t xml:space="preserve">[ ] Update Record of Processing Activities if changes occurred</w:t>
      </w:r>
    </w:p>
    <w:p>
      <w:pPr>
        <w:pStyle w:val="ListParagraph"/>
        <w:numPr>
          <w:ilvl w:val="0"/>
          <w:numId w:val="1"/>
        </w:numPr>
      </w:pPr>
      <w:r>
        <w:t xml:space="preserve">[ ] Review sub-processor list for additions or changes</w:t>
      </w:r>
    </w:p>
    <w:p>
      <w:pPr>
        <w:pStyle w:val="ListParagraph"/>
        <w:numPr>
          <w:ilvl w:val="0"/>
          <w:numId w:val="1"/>
        </w:numPr>
      </w:pPr>
      <w:r>
        <w:t xml:space="preserve">[ ] Assess any new processing activities for DPIA necessity</w:t>
      </w:r>
    </w:p>
    <w:p>
      <w:pPr>
        <w:pStyle w:val="ListParagraph"/>
        <w:numPr>
          <w:ilvl w:val="0"/>
          <w:numId w:val="1"/>
        </w:numPr>
      </w:pPr>
      <w:r>
        <w:t xml:space="preserve">[ ] Report compliance status to management</w:t>
      </w:r>
    </w:p>
    <w:p>
      <w:pPr>
        <w:pStyle w:val="Heading4"/>
      </w:pPr>
      <w:r>
        <w:t>Quarterly</w:t>
      </w:r>
    </w:p>
    <w:p>
      <w:pPr>
        <w:pStyle w:val="ListParagraph"/>
        <w:numPr>
          <w:ilvl w:val="0"/>
          <w:numId w:val="1"/>
        </w:numPr>
      </w:pPr>
      <w:r>
        <w:t xml:space="preserve">[ ] Conduct staff data protection awareness training</w:t>
      </w:r>
    </w:p>
    <w:p>
      <w:pPr>
        <w:pStyle w:val="ListParagraph"/>
        <w:numPr>
          <w:ilvl w:val="0"/>
          <w:numId w:val="1"/>
        </w:numPr>
      </w:pPr>
      <w:r>
        <w:t xml:space="preserve">[ ] Review and update privacy policies and notices</w:t>
      </w:r>
    </w:p>
    <w:p>
      <w:pPr>
        <w:pStyle w:val="ListParagraph"/>
        <w:numPr>
          <w:ilvl w:val="0"/>
          <w:numId w:val="1"/>
        </w:numPr>
      </w:pPr>
      <w:r>
        <w:t xml:space="preserve">[ ] Audit consent management mechanisms</w:t>
      </w:r>
    </w:p>
    <w:p>
      <w:pPr>
        <w:pStyle w:val="ListParagraph"/>
        <w:numPr>
          <w:ilvl w:val="0"/>
          <w:numId w:val="1"/>
        </w:numPr>
      </w:pPr>
      <w:r>
        <w:t xml:space="preserve">[ ] Review data retention and deletion practices</w:t>
      </w:r>
    </w:p>
    <w:p>
      <w:pPr>
        <w:pStyle w:val="ListParagraph"/>
        <w:numPr>
          <w:ilvl w:val="0"/>
          <w:numId w:val="1"/>
        </w:numPr>
      </w:pPr>
      <w:r>
        <w:t xml:space="preserve">[ ] Update risk register and mitigation measures</w:t>
      </w:r>
    </w:p>
    <w:p>
      <w:pPr>
        <w:pStyle w:val="Heading4"/>
      </w:pPr>
      <w:r>
        <w:t>Annually</w:t>
      </w:r>
    </w:p>
    <w:p>
      <w:pPr>
        <w:pStyle w:val="ListParagraph"/>
        <w:numPr>
          <w:ilvl w:val="0"/>
          <w:numId w:val="1"/>
        </w:numPr>
      </w:pPr>
      <w:r>
        <w:t xml:space="preserve">[ ] Comprehensive compliance audit</w:t>
      </w:r>
    </w:p>
    <w:p>
      <w:pPr>
        <w:pStyle w:val="ListParagraph"/>
        <w:numPr>
          <w:ilvl w:val="0"/>
          <w:numId w:val="1"/>
        </w:numPr>
      </w:pPr>
      <w:r>
        <w:t xml:space="preserve">[ ] Review and update DPIAs for existing high-risk processing</w:t>
      </w:r>
    </w:p>
    <w:p>
      <w:pPr>
        <w:pStyle w:val="ListParagraph"/>
        <w:numPr>
          <w:ilvl w:val="0"/>
          <w:numId w:val="1"/>
        </w:numPr>
      </w:pPr>
      <w:r>
        <w:t xml:space="preserve">[ ] Update transfer impact assessments</w:t>
      </w:r>
    </w:p>
    <w:p>
      <w:pPr>
        <w:pStyle w:val="ListParagraph"/>
        <w:numPr>
          <w:ilvl w:val="0"/>
          <w:numId w:val="1"/>
        </w:numPr>
      </w:pPr>
      <w:r>
        <w:t xml:space="preserve">[ ] Submit annual report to board/management</w:t>
      </w:r>
    </w:p>
    <w:p>
      <w:pPr>
        <w:pStyle w:val="ListParagraph"/>
        <w:numPr>
          <w:ilvl w:val="0"/>
          <w:numId w:val="1"/>
        </w:numPr>
      </w:pPr>
      <w:r>
        <w:t xml:space="preserve">[ ] Review and renew DPA agreements with processors</w:t>
      </w:r>
    </w:p>
    <w:p>
      <w:pPr>
        <w:pStyle w:val="Heading2"/>
      </w:pPr>
      <w:r>
        <w:t>4. Escalation Procedures</w:t>
      </w:r>
    </w:p>
    <w:p>
      <w:pPr>
        <w:pStyle w:val="Heading3"/>
      </w:pPr>
      <w:r>
        <w:t>4.1 Escalation Matrix</w:t>
      </w:r>
    </w:p>
    <w:p>
      <w:r>
        <w:rPr>
          <w:sz w:val="20"/>
        </w:rPr>
        <w:t xml:space="preserve">Situation  |  Escalation Level  |  Timeline  |  Action</w:t>
      </w:r>
    </w:p>
    <w:p>
      <w:r>
        <w:rPr>
          <w:sz w:val="20"/>
        </w:rPr>
        <w:t xml:space="preserve">Routine DSAR  |  DPO handles directly  |  30 days max  |  Process and respond</w:t>
      </w:r>
    </w:p>
    <w:p>
      <w:r>
        <w:rPr>
          <w:sz w:val="20"/>
        </w:rPr>
        <w:t xml:space="preserve">Complex DSAR (multiple systems)  |  DPO + IT Lead  |  30 days max  |  Coordinate data retrieval</w:t>
      </w:r>
    </w:p>
    <w:p>
      <w:r>
        <w:rPr>
          <w:sz w:val="20"/>
        </w:rPr>
        <w:t xml:space="preserve">Minor data incident (no breach)  |  DPO + IT Security  |  24 hours assessment  |  Investigate and document</w:t>
      </w:r>
    </w:p>
    <w:p>
      <w:r>
        <w:rPr>
          <w:sz w:val="20"/>
        </w:rPr>
        <w:t xml:space="preserve">Confirmed data breach  |  DPO + CEO + Legal  |  72 hours to authority  |  Notify authority, assess user notification</w:t>
      </w:r>
    </w:p>
    <w:p>
      <w:r>
        <w:rPr>
          <w:sz w:val="20"/>
        </w:rPr>
        <w:t xml:space="preserve">Regulatory inquiry  |  DPO + Legal Counsel  |  Immediate  |  Cooperate and respond</w:t>
      </w:r>
    </w:p>
    <w:p>
      <w:r>
        <w:rPr>
          <w:sz w:val="20"/>
        </w:rPr>
        <w:t xml:space="preserve">DPO advice rejected by management  |  DPO documents in writing  |  Record immediately  |  Formal written objection</w:t>
      </w:r>
    </w:p>
    <w:p>
      <w:pPr>
        <w:pStyle w:val="Heading3"/>
      </w:pPr>
      <w:r>
        <w:t>4.2 Data Breach Escalation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Incident Detected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┌──────────────────┐    No    ┌──────────────┐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Personal data    │────────▶│ IT Security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involved?        │         │ handles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└────────┬─────────┘         └──────────────┘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Yes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DPO notified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(within 1 hour)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└────────┬─────────┘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┌──────────────────┐    Low   ┌──────────────┐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Risk to rights   │────────▶│ Document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and freedoms?    │         │ internally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└────────┬─────────┘         └──────────────┘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High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Notify authority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within 72 hours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└────────┬─────────┘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▼</w:t>
      </w:r>
    </w:p>
    <w:p>
      <w:pPr>
        <w:pStyle w:val="Code"/>
      </w:pPr>
      <w:r>
        <w:rPr>
          <w:rFonts w:ascii="Courier New" w:hAnsi="Courier New"/>
          <w:sz w:val="18"/>
        </w:rPr>
        <w:t xml:space="preserve">┌──────────────────┐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Notify affected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│ individuals   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└──────────────────┘</w:t>
      </w:r>
    </w:p>
    <w:p>
      <w:pPr>
        <w:pStyle w:val="Heading2"/>
      </w:pPr>
      <w:r>
        <w:t>5. DSAR Handling Process</w:t>
      </w:r>
    </w:p>
    <w:p>
      <w:pPr>
        <w:pStyle w:val="Heading3"/>
      </w:pPr>
      <w:r>
        <w:t>5.1 Response Timeline</w:t>
      </w:r>
    </w:p>
    <w:p>
      <w:r>
        <w:rPr>
          <w:sz w:val="20"/>
        </w:rPr>
        <w:t xml:space="preserve">Step  |  Deadline  |  Responsible</w:t>
      </w:r>
    </w:p>
    <w:p>
      <w:r>
        <w:rPr>
          <w:sz w:val="20"/>
        </w:rPr>
        <w:t xml:space="preserve">Request received  |  Day 0  |  DPO</w:t>
      </w:r>
    </w:p>
    <w:p>
      <w:r>
        <w:rPr>
          <w:sz w:val="20"/>
        </w:rPr>
        <w:t xml:space="preserve">Identity verification  |  Day 1-3  |  DPO</w:t>
      </w:r>
    </w:p>
    <w:p>
      <w:r>
        <w:rPr>
          <w:sz w:val="20"/>
        </w:rPr>
        <w:t xml:space="preserve">Scope assessment  |  Day 3-5  |  DPO</w:t>
      </w:r>
    </w:p>
    <w:p>
      <w:r>
        <w:rPr>
          <w:sz w:val="20"/>
        </w:rPr>
        <w:t xml:space="preserve">Data collection from systems  |  Day 5-20  |  DPO + IT</w:t>
      </w:r>
    </w:p>
    <w:p>
      <w:r>
        <w:rPr>
          <w:sz w:val="20"/>
        </w:rPr>
        <w:t xml:space="preserve">Review and redaction  |  Day 20-25  |  DPO + Legal</w:t>
      </w:r>
    </w:p>
    <w:p>
      <w:r>
        <w:rPr>
          <w:sz w:val="20"/>
        </w:rPr>
        <w:t xml:space="preserve">Response to data subject  |  Day 25-30 (max)  |  DPO</w:t>
      </w:r>
    </w:p>
    <w:p>
      <w:pPr>
        <w:pStyle w:val="Heading3"/>
      </w:pPr>
      <w:r>
        <w:t>5.2 Systems to Query (8 detected)</w:t>
      </w:r>
    </w:p>
    <w:p>
      <w:pPr>
        <w:pStyle w:val="ListParagraph"/>
        <w:numPr>
          <w:ilvl w:val="0"/>
          <w:numId w:val="1"/>
        </w:numPr>
      </w:pPr>
      <w:r>
        <w:t xml:space="preserve">**@sentry/node** (monitoring): error data, stack traces, user context</w:t>
      </w:r>
    </w:p>
    <w:p>
      <w:pPr>
        <w:pStyle w:val="ListParagraph"/>
        <w:numPr>
          <w:ilvl w:val="0"/>
          <w:numId w:val="1"/>
        </w:numPr>
      </w:pPr>
      <w:r>
        <w:t xml:space="preserve">**@supabase/supabase-js** (auth): email, password hash, session data</w:t>
      </w:r>
    </w:p>
    <w:p>
      <w:pPr>
        <w:pStyle w:val="ListParagraph"/>
        <w:numPr>
          <w:ilvl w:val="0"/>
          <w:numId w:val="1"/>
        </w:numPr>
      </w:pPr>
      <w:r>
        <w:t xml:space="preserve">**openai** (ai): user prompts, conversation history, generated content</w:t>
      </w:r>
    </w:p>
    <w:p>
      <w:pPr>
        <w:pStyle w:val="ListParagraph"/>
        <w:numPr>
          <w:ilvl w:val="0"/>
          <w:numId w:val="1"/>
        </w:numPr>
      </w:pPr>
      <w:r>
        <w:t xml:space="preserve">**posthog** (analytics): user behavior, session recordings, feature flag usage</w:t>
      </w:r>
    </w:p>
    <w:p>
      <w:pPr>
        <w:pStyle w:val="ListParagraph"/>
        <w:numPr>
          <w:ilvl w:val="0"/>
          <w:numId w:val="1"/>
        </w:numPr>
      </w:pPr>
      <w:r>
        <w:t xml:space="preserve">**prisma** (database): user data as defined in schema</w:t>
      </w:r>
    </w:p>
    <w:p>
      <w:pPr>
        <w:pStyle w:val="ListParagraph"/>
        <w:numPr>
          <w:ilvl w:val="0"/>
          <w:numId w:val="1"/>
        </w:numPr>
      </w:pPr>
      <w:r>
        <w:t xml:space="preserve">**resend** (email): email addresses, email content</w:t>
      </w:r>
    </w:p>
    <w:p>
      <w:pPr>
        <w:pStyle w:val="ListParagraph"/>
        <w:numPr>
          <w:ilvl w:val="0"/>
          <w:numId w:val="1"/>
        </w:numPr>
      </w:pPr>
      <w:r>
        <w:t xml:space="preserve">**stripe** (payment): payment information, billing address, email</w:t>
      </w:r>
    </w:p>
    <w:p>
      <w:pPr>
        <w:pStyle w:val="ListParagraph"/>
        <w:numPr>
          <w:ilvl w:val="0"/>
          <w:numId w:val="1"/>
        </w:numPr>
      </w:pPr>
      <w:r>
        <w:t xml:space="preserve">**stripe-ios** (payment): payment information, billing address, email</w:t>
      </w:r>
    </w:p>
    <w:p>
      <w:pPr>
        <w:pStyle w:val="Heading2"/>
      </w:pPr>
      <w:r>
        <w:t>6. AI-Specific DPO Responsibilities</w:t>
      </w:r>
    </w:p>
    <w:p>
      <w:r>
        <w:t xml:space="preserve">AI services have been detected in this project. The DPO has additional responsibilities under the EU AI Act and GDPR:</w:t>
      </w:r>
    </w:p>
    <w:p>
      <w:pPr>
        <w:pStyle w:val="ListParagraph"/>
        <w:numPr>
          <w:ilvl w:val="0"/>
          <w:numId w:val="1"/>
        </w:numPr>
      </w:pPr>
      <w:r>
        <w:t xml:space="preserve">**Automated decision-making (Art. 22):** Ensure data subjects are informed and can request human review</w:t>
      </w:r>
    </w:p>
    <w:p>
      <w:pPr>
        <w:pStyle w:val="ListParagraph"/>
        <w:numPr>
          <w:ilvl w:val="0"/>
          <w:numId w:val="1"/>
        </w:numPr>
      </w:pPr>
      <w:r>
        <w:t xml:space="preserve">**DPIA for AI:** Conduct or advise on DPIAs for AI processing that is likely high-risk</w:t>
      </w:r>
    </w:p>
    <w:p>
      <w:pPr>
        <w:pStyle w:val="ListParagraph"/>
        <w:numPr>
          <w:ilvl w:val="0"/>
          <w:numId w:val="1"/>
        </w:numPr>
      </w:pPr>
      <w:r>
        <w:t xml:space="preserve">**AI transparency:** Verify AI disclosure documents are accurate and up-to-date</w:t>
      </w:r>
    </w:p>
    <w:p>
      <w:pPr>
        <w:pStyle w:val="ListParagraph"/>
        <w:numPr>
          <w:ilvl w:val="0"/>
          <w:numId w:val="1"/>
        </w:numPr>
      </w:pPr>
      <w:r>
        <w:t xml:space="preserve">**Training data governance:** Oversee data used for AI training, ensure lawful basis</w:t>
      </w:r>
    </w:p>
    <w:p>
      <w:pPr>
        <w:pStyle w:val="ListParagraph"/>
        <w:numPr>
          <w:ilvl w:val="0"/>
          <w:numId w:val="1"/>
        </w:numPr>
      </w:pPr>
      <w:r>
        <w:t xml:space="preserve">**Bias monitoring:** Review AI outputs for discriminatory patterns or bias</w:t>
      </w:r>
    </w:p>
    <w:p>
      <w:pPr>
        <w:pStyle w:val="ListParagraph"/>
        <w:numPr>
          <w:ilvl w:val="0"/>
          <w:numId w:val="1"/>
        </w:numPr>
      </w:pPr>
      <w:r>
        <w:t xml:space="preserve">**Vendor AI agreements:** Review AI provider DPAs for adequate safeguards</w:t>
      </w:r>
    </w:p>
    <w:p>
      <w:pPr>
        <w:pStyle w:val="Heading2"/>
      </w:pPr>
      <w:r>
        <w:t>7. Payment Data Responsibilities</w:t>
      </w:r>
    </w:p>
    <w:p>
      <w:r>
        <w:t xml:space="preserve">Payment services have been detected. Additional DPO responsibilities include:</w:t>
      </w:r>
    </w:p>
    <w:p>
      <w:pPr>
        <w:pStyle w:val="ListParagraph"/>
        <w:numPr>
          <w:ilvl w:val="0"/>
          <w:numId w:val="1"/>
        </w:numPr>
      </w:pPr>
      <w:r>
        <w:t xml:space="preserve">**PCI DSS coordination:** Ensure payment data handling meets PCI DSS requirements</w:t>
      </w:r>
    </w:p>
    <w:p>
      <w:pPr>
        <w:pStyle w:val="ListParagraph"/>
        <w:numPr>
          <w:ilvl w:val="0"/>
          <w:numId w:val="1"/>
        </w:numPr>
      </w:pPr>
      <w:r>
        <w:t xml:space="preserve">**Financial data retention:** Verify retention periods comply with tax and accounting laws (typically 7 years)</w:t>
      </w:r>
    </w:p>
    <w:p>
      <w:pPr>
        <w:pStyle w:val="ListParagraph"/>
        <w:numPr>
          <w:ilvl w:val="0"/>
          <w:numId w:val="1"/>
        </w:numPr>
      </w:pPr>
      <w:r>
        <w:t xml:space="preserve">**Payment processor oversight:** Review DPAs with payment processors (Stripe, PayPal, etc.)</w:t>
      </w:r>
    </w:p>
    <w:p>
      <w:pPr>
        <w:pStyle w:val="ListParagraph"/>
        <w:numPr>
          <w:ilvl w:val="0"/>
          <w:numId w:val="1"/>
        </w:numPr>
      </w:pPr>
      <w:r>
        <w:t xml:space="preserve">**Cardholder data scope:** Minimize the scope of cardholder data your systems touch</w:t>
      </w:r>
    </w:p>
    <w:p>
      <w:pPr>
        <w:pStyle w:val="Heading2"/>
      </w:pPr>
      <w:r>
        <w:t>8. Key Contacts and Resources</w:t>
      </w:r>
    </w:p>
    <w:p>
      <w:pPr>
        <w:pStyle w:val="Heading3"/>
      </w:pPr>
      <w:r>
        <w:t>Internal Contacts</w:t>
      </w:r>
    </w:p>
    <w:p>
      <w:r>
        <w:rPr>
          <w:sz w:val="20"/>
        </w:rPr>
        <w:t xml:space="preserve">Role  |  Name  |  Email</w:t>
      </w:r>
    </w:p>
    <w:p>
      <w:r>
        <w:rPr>
          <w:sz w:val="20"/>
        </w:rPr>
        <w:t xml:space="preserve">Data Protection Officer  |  Jane Mueller  |  dpo@acme-saas.com</w:t>
      </w:r>
    </w:p>
    <w:p>
      <w:r>
        <w:rPr>
          <w:sz w:val="20"/>
        </w:rPr>
        <w:t xml:space="preserve">General Contact  |  [Name]  |  legal@acme.com</w:t>
      </w:r>
    </w:p>
    <w:p>
      <w:r>
        <w:rPr>
          <w:sz w:val="20"/>
        </w:rPr>
        <w:t xml:space="preserve">Legal Counsel  |  [Name]  |  [email]</w:t>
      </w:r>
    </w:p>
    <w:p>
      <w:r>
        <w:rPr>
          <w:sz w:val="20"/>
        </w:rPr>
        <w:t xml:space="preserve">IT Security Lead  |  [Name]  |  [email]</w:t>
      </w:r>
    </w:p>
    <w:p>
      <w:r>
        <w:rPr>
          <w:sz w:val="20"/>
        </w:rPr>
        <w:t xml:space="preserve">HR Lead  |  [Name]  |  [email]</w:t>
      </w:r>
    </w:p>
    <w:p>
      <w:pPr>
        <w:pStyle w:val="Heading3"/>
      </w:pPr>
      <w:r>
        <w:t>Supervisory Authorities</w:t>
      </w:r>
    </w:p>
    <w:p>
      <w:r>
        <w:rPr>
          <w:sz w:val="20"/>
        </w:rPr>
        <w:t xml:space="preserve">Authority  |  Jurisdiction  |  Website</w:t>
      </w:r>
    </w:p>
    <w:p>
      <w:r>
        <w:rPr>
          <w:sz w:val="20"/>
        </w:rPr>
        <w:t xml:space="preserve">[Your lead authority]  |  [Country]  |  [URL]</w:t>
      </w:r>
    </w:p>
    <w:p>
      <w:r>
        <w:rPr>
          <w:sz w:val="20"/>
        </w:rPr>
        <w:t xml:space="preserve">ICO  |  United Kingdom  |  https://ico.org.uk</w:t>
      </w:r>
    </w:p>
    <w:p>
      <w:r>
        <w:rPr>
          <w:sz w:val="20"/>
        </w:rPr>
        <w:t xml:space="preserve">CNIL  |  France  |  https://www.cnil.fr</w:t>
      </w:r>
    </w:p>
    <w:p>
      <w:r>
        <w:rPr>
          <w:sz w:val="20"/>
        </w:rPr>
        <w:t xml:space="preserve">BfDI  |  Germany  |  https://www.bfdi.bund.de</w:t>
      </w:r>
    </w:p>
    <w:p>
      <w:r>
        <w:rPr>
          <w:sz w:val="20"/>
        </w:rPr>
        <w:t xml:space="preserve">DPC  |  Ireland  |  https://www.dataprotection.ie</w:t>
      </w:r>
    </w:p>
    <w:p>
      <w:pPr>
        <w:pStyle w:val="Heading3"/>
      </w:pPr>
      <w:r>
        <w:t>Key Regulations</w:t>
      </w:r>
    </w:p>
    <w:p>
      <w:pPr>
        <w:pStyle w:val="ListParagraph"/>
        <w:numPr>
          <w:ilvl w:val="0"/>
          <w:numId w:val="1"/>
        </w:numPr>
      </w:pPr>
      <w:r>
        <w:t xml:space="preserve">**GDPR** — General Data Protection Regulation (EU) 2016/679</w:t>
      </w:r>
    </w:p>
    <w:p>
      <w:pPr>
        <w:pStyle w:val="ListParagraph"/>
        <w:numPr>
          <w:ilvl w:val="0"/>
          <w:numId w:val="1"/>
        </w:numPr>
      </w:pPr>
      <w:r>
        <w:t xml:space="preserve">**ePrivacy Directive** — Directive 2002/58/EC (cookies, electronic communications)</w:t>
      </w:r>
    </w:p>
    <w:p>
      <w:pPr>
        <w:pStyle w:val="ListParagraph"/>
        <w:numPr>
          <w:ilvl w:val="0"/>
          <w:numId w:val="1"/>
        </w:numPr>
      </w:pPr>
      <w:r>
        <w:t xml:space="preserve">**EU AI Act** — Regulation (EU) 2024/1689</w:t>
      </w:r>
    </w:p>
    <w:p>
      <w:pPr>
        <w:pStyle w:val="ListParagraph"/>
        <w:numPr>
          <w:ilvl w:val="0"/>
          <w:numId w:val="1"/>
        </w:numPr>
      </w:pPr>
      <w:r>
        <w:t xml:space="preserve">**PCI DSS** — Payment Card Industry Data Security Standard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Record of Processing Activities (`RECORD_OF_PROCESSING_ACTIVITIES.md`)</w:t>
      </w:r>
    </w:p>
    <w:p>
      <w:pPr>
        <w:pStyle w:val="ListParagraph"/>
        <w:numPr>
          <w:ilvl w:val="0"/>
          <w:numId w:val="1"/>
        </w:numPr>
      </w:pPr>
      <w:r>
        <w:t xml:space="preserve">DSAR Handling Guide (`DSAR_HANDLING_GUIDE.md`)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Data Protection Policy (`DATA_PROTECTION_POLICY.md`)</w:t>
      </w:r>
    </w:p>
    <w:p>
      <w:pPr>
        <w:pStyle w:val="ListParagraph"/>
        <w:numPr>
          <w:ilvl w:val="0"/>
          <w:numId w:val="1"/>
        </w:numPr>
      </w:pPr>
      <w:r>
        <w:t xml:space="preserve">Annual Review Checklist (`ANNUAL_REVIEW_CHECKLIST.md`)</w:t>
      </w:r>
    </w:p>
    <w:p>
      <w:pPr>
        <w:pBdr>
          <w:bottom w:val="single" w:sz="6" w:space="1" w:color="999999"/>
        </w:pBdr>
      </w:pPr>
    </w:p>
    <w:p>
      <w:r>
        <w:t xml:space="preserve">This DPO Handbook was generated by [Codepliant](https://github.com/joechensmartz/codepliant) based on an automated scan of the nextjs-saas-example codebase. It should be reviewed and customized by your legal team and appointed DPO before adoption.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